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BECF00">
      <w:pPr>
        <w:spacing w:line="216" w:lineRule="auto"/>
        <w:jc w:val="left"/>
        <w:rPr>
          <w:rFonts w:ascii="华文中宋" w:hAnsi="华文中宋" w:eastAsia="华文中宋" w:cs="华文中宋"/>
          <w:b/>
          <w:color w:val="000000"/>
          <w:sz w:val="36"/>
          <w:szCs w:val="36"/>
        </w:rPr>
      </w:pPr>
      <w:r>
        <w:rPr>
          <w:rFonts w:hint="eastAsia" w:ascii="黑体" w:hAnsi="黑体" w:eastAsia="黑体" w:cs="华文中宋"/>
          <w:color w:val="000000"/>
          <w:sz w:val="32"/>
          <w:szCs w:val="32"/>
        </w:rPr>
        <w:t>附件</w:t>
      </w:r>
      <w:r>
        <w:rPr>
          <w:rFonts w:ascii="黑体" w:hAnsi="黑体" w:eastAsia="黑体" w:cs="华文中宋"/>
          <w:color w:val="000000"/>
          <w:sz w:val="32"/>
          <w:szCs w:val="32"/>
        </w:rPr>
        <w:t>3</w:t>
      </w:r>
    </w:p>
    <w:p w14:paraId="4517FE61">
      <w:pPr>
        <w:spacing w:line="216" w:lineRule="auto"/>
        <w:ind w:firstLine="3243" w:firstLineChars="900"/>
        <w:rPr>
          <w:sz w:val="33"/>
        </w:rPr>
      </w:pPr>
      <w:r>
        <w:rPr>
          <w:rFonts w:hint="eastAsia" w:ascii="华文中宋" w:hAnsi="华文中宋" w:eastAsia="华文中宋" w:cs="华文中宋"/>
          <w:b/>
          <w:color w:val="000000"/>
          <w:sz w:val="36"/>
          <w:szCs w:val="36"/>
        </w:rPr>
        <w:t>代表作登记表</w:t>
      </w:r>
    </w:p>
    <w:tbl>
      <w:tblPr>
        <w:tblStyle w:val="3"/>
        <w:tblW w:w="10100"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10" w:type="dxa"/>
          <w:bottom w:w="0" w:type="dxa"/>
          <w:right w:w="10" w:type="dxa"/>
        </w:tblCellMar>
      </w:tblPr>
      <w:tblGrid>
        <w:gridCol w:w="2663"/>
        <w:gridCol w:w="12"/>
        <w:gridCol w:w="2135"/>
        <w:gridCol w:w="1418"/>
        <w:gridCol w:w="3872"/>
      </w:tblGrid>
      <w:tr w14:paraId="3A1A2AF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44869EBD">
            <w:pPr>
              <w:jc w:val="center"/>
              <w:rPr>
                <w:rFonts w:ascii="仿宋_GB2312" w:hAnsi="宋体" w:eastAsia="仿宋_GB2312" w:cs="宋体"/>
                <w:sz w:val="32"/>
                <w:szCs w:val="32"/>
              </w:rPr>
            </w:pPr>
            <w:r>
              <w:rPr>
                <w:rFonts w:hint="eastAsia" w:ascii="仿宋_GB2312" w:hAnsi="宋体" w:eastAsia="仿宋_GB2312" w:cs="宋体"/>
                <w:color w:val="000000"/>
                <w:sz w:val="32"/>
                <w:szCs w:val="32"/>
              </w:rPr>
              <w:t>作者姓名</w:t>
            </w:r>
          </w:p>
        </w:tc>
        <w:tc>
          <w:tcPr>
            <w:tcW w:w="2147" w:type="dxa"/>
            <w:gridSpan w:val="2"/>
            <w:tcBorders>
              <w:top w:val="single" w:color="000000" w:sz="4" w:space="0"/>
              <w:left w:val="single" w:color="000000" w:sz="4" w:space="0"/>
              <w:bottom w:val="single" w:color="000000" w:sz="4" w:space="0"/>
              <w:right w:val="single" w:color="000000" w:sz="4" w:space="0"/>
            </w:tcBorders>
            <w:vAlign w:val="center"/>
          </w:tcPr>
          <w:p w14:paraId="7B8487C8">
            <w:pPr>
              <w:rPr>
                <w:rFonts w:hint="eastAsia" w:ascii="仿宋" w:hAnsi="仿宋" w:eastAsia="仿宋" w:cs="仿宋"/>
                <w:sz w:val="32"/>
                <w:szCs w:val="32"/>
              </w:rPr>
            </w:pPr>
            <w:r>
              <w:rPr>
                <w:rFonts w:hint="eastAsia" w:ascii="仿宋" w:hAnsi="仿宋" w:eastAsia="仿宋" w:cs="仿宋"/>
                <w:sz w:val="32"/>
                <w:szCs w:val="32"/>
              </w:rPr>
              <w:t>郑 璜  储白珊 潘抒捷 刘必然</w:t>
            </w:r>
          </w:p>
        </w:tc>
        <w:tc>
          <w:tcPr>
            <w:tcW w:w="1418" w:type="dxa"/>
            <w:tcBorders>
              <w:top w:val="single" w:color="000000" w:sz="4" w:space="0"/>
              <w:left w:val="single" w:color="000000" w:sz="4" w:space="0"/>
              <w:bottom w:val="single" w:color="000000" w:sz="4" w:space="0"/>
              <w:right w:val="single" w:color="000000" w:sz="4" w:space="0"/>
            </w:tcBorders>
            <w:vAlign w:val="center"/>
          </w:tcPr>
          <w:p w14:paraId="2659FCAB">
            <w:pPr>
              <w:rPr>
                <w:rFonts w:hint="eastAsia" w:ascii="仿宋" w:hAnsi="仿宋" w:eastAsia="仿宋" w:cs="仿宋"/>
                <w:sz w:val="32"/>
                <w:szCs w:val="32"/>
              </w:rPr>
            </w:pPr>
            <w:r>
              <w:rPr>
                <w:rFonts w:hint="eastAsia" w:ascii="仿宋" w:hAnsi="仿宋" w:eastAsia="仿宋" w:cs="仿宋"/>
                <w:sz w:val="32"/>
                <w:szCs w:val="32"/>
              </w:rPr>
              <w:t>所在单位</w:t>
            </w:r>
          </w:p>
        </w:tc>
        <w:tc>
          <w:tcPr>
            <w:tcW w:w="3872" w:type="dxa"/>
            <w:tcBorders>
              <w:top w:val="single" w:color="000000" w:sz="4" w:space="0"/>
              <w:left w:val="single" w:color="000000" w:sz="4" w:space="0"/>
              <w:bottom w:val="single" w:color="000000" w:sz="4" w:space="0"/>
              <w:right w:val="single" w:color="000000" w:sz="4" w:space="0"/>
            </w:tcBorders>
            <w:vAlign w:val="center"/>
          </w:tcPr>
          <w:p w14:paraId="653EED15">
            <w:pPr>
              <w:rPr>
                <w:rFonts w:ascii="仿宋" w:hAnsi="仿宋" w:eastAsia="仿宋" w:cs="仿宋"/>
                <w:sz w:val="32"/>
                <w:szCs w:val="32"/>
              </w:rPr>
            </w:pPr>
            <w:r>
              <w:rPr>
                <w:rFonts w:hint="eastAsia" w:ascii="仿宋" w:hAnsi="仿宋" w:eastAsia="仿宋" w:cs="仿宋"/>
                <w:sz w:val="32"/>
                <w:szCs w:val="32"/>
              </w:rPr>
              <w:t xml:space="preserve">  福建日报社</w:t>
            </w:r>
          </w:p>
        </w:tc>
      </w:tr>
      <w:tr w14:paraId="5556D807">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2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18EF8553">
            <w:pPr>
              <w:jc w:val="center"/>
              <w:rPr>
                <w:rFonts w:ascii="宋体" w:hAnsi="宋体" w:eastAsia="宋体" w:cs="宋体"/>
                <w:sz w:val="32"/>
                <w:szCs w:val="32"/>
              </w:rPr>
            </w:pPr>
            <w:r>
              <w:rPr>
                <w:rFonts w:hint="eastAsia" w:ascii="仿宋_GB2312" w:hAnsi="宋体" w:eastAsia="仿宋_GB2312" w:cs="宋体"/>
                <w:color w:val="000000"/>
                <w:sz w:val="32"/>
                <w:szCs w:val="32"/>
              </w:rPr>
              <w:t>作品标题</w:t>
            </w:r>
          </w:p>
        </w:tc>
        <w:tc>
          <w:tcPr>
            <w:tcW w:w="7437" w:type="dxa"/>
            <w:gridSpan w:val="4"/>
            <w:tcBorders>
              <w:top w:val="single" w:color="000000" w:sz="4" w:space="0"/>
              <w:left w:val="single" w:color="000000" w:sz="4" w:space="0"/>
              <w:bottom w:val="single" w:color="000000" w:sz="4" w:space="0"/>
              <w:right w:val="single" w:color="000000" w:sz="4" w:space="0"/>
            </w:tcBorders>
            <w:vAlign w:val="center"/>
          </w:tcPr>
          <w:p w14:paraId="37DA8616">
            <w:pPr>
              <w:rPr>
                <w:rFonts w:ascii="仿宋" w:hAnsi="仿宋" w:eastAsia="仿宋" w:cs="仿宋"/>
                <w:sz w:val="32"/>
                <w:szCs w:val="32"/>
              </w:rPr>
            </w:pPr>
            <w:r>
              <w:rPr>
                <w:rFonts w:hint="eastAsia" w:ascii="仿宋" w:hAnsi="仿宋" w:eastAsia="仿宋" w:cs="仿宋"/>
                <w:sz w:val="32"/>
                <w:szCs w:val="32"/>
              </w:rPr>
              <w:t>《“真正把教育摆在先行官的位置”——习近平同志在福建工作期间关于教育工作的探索与实践》</w:t>
            </w:r>
          </w:p>
        </w:tc>
      </w:tr>
      <w:tr w14:paraId="76B989D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7FAA5CCE">
            <w:pPr>
              <w:jc w:val="center"/>
              <w:rPr>
                <w:rFonts w:ascii="宋体" w:hAnsi="宋体" w:eastAsia="宋体" w:cs="宋体"/>
                <w:sz w:val="32"/>
                <w:szCs w:val="32"/>
              </w:rPr>
            </w:pPr>
            <w:r>
              <w:rPr>
                <w:rFonts w:hint="eastAsia" w:ascii="仿宋_GB2312" w:hAnsi="宋体" w:eastAsia="仿宋_GB2312" w:cs="宋体"/>
                <w:color w:val="000000"/>
                <w:sz w:val="32"/>
                <w:szCs w:val="32"/>
              </w:rPr>
              <w:t>作品刊播单位</w:t>
            </w:r>
          </w:p>
        </w:tc>
        <w:tc>
          <w:tcPr>
            <w:tcW w:w="2147" w:type="dxa"/>
            <w:gridSpan w:val="2"/>
            <w:tcBorders>
              <w:top w:val="single" w:color="000000" w:sz="4" w:space="0"/>
              <w:left w:val="single" w:color="000000" w:sz="4" w:space="0"/>
              <w:bottom w:val="single" w:color="000000" w:sz="4" w:space="0"/>
              <w:right w:val="single" w:color="000000" w:sz="4" w:space="0"/>
            </w:tcBorders>
            <w:vAlign w:val="center"/>
          </w:tcPr>
          <w:p w14:paraId="45B749FD">
            <w:pPr>
              <w:rPr>
                <w:rFonts w:ascii="仿宋" w:hAnsi="仿宋" w:eastAsia="仿宋" w:cs="仿宋"/>
                <w:sz w:val="32"/>
                <w:szCs w:val="32"/>
              </w:rPr>
            </w:pPr>
            <w:r>
              <w:rPr>
                <w:rFonts w:hint="eastAsia" w:ascii="仿宋" w:hAnsi="仿宋" w:eastAsia="仿宋" w:cs="仿宋"/>
                <w:sz w:val="32"/>
                <w:szCs w:val="32"/>
              </w:rPr>
              <w:t>《福建日报》</w:t>
            </w:r>
          </w:p>
        </w:tc>
        <w:tc>
          <w:tcPr>
            <w:tcW w:w="1418" w:type="dxa"/>
            <w:tcBorders>
              <w:top w:val="single" w:color="000000" w:sz="4" w:space="0"/>
              <w:left w:val="single" w:color="000000" w:sz="4" w:space="0"/>
              <w:bottom w:val="single" w:color="000000" w:sz="4" w:space="0"/>
              <w:right w:val="single" w:color="000000" w:sz="4" w:space="0"/>
            </w:tcBorders>
            <w:vAlign w:val="center"/>
          </w:tcPr>
          <w:p w14:paraId="239E5231">
            <w:pPr>
              <w:jc w:val="center"/>
              <w:rPr>
                <w:rFonts w:ascii="仿宋" w:hAnsi="仿宋" w:eastAsia="仿宋" w:cs="仿宋"/>
                <w:sz w:val="32"/>
                <w:szCs w:val="32"/>
              </w:rPr>
            </w:pPr>
            <w:r>
              <w:rPr>
                <w:rFonts w:hint="eastAsia" w:ascii="仿宋" w:hAnsi="仿宋" w:eastAsia="仿宋" w:cs="仿宋"/>
                <w:color w:val="000000"/>
                <w:sz w:val="32"/>
                <w:szCs w:val="32"/>
              </w:rPr>
              <w:t>刊播日期</w:t>
            </w:r>
          </w:p>
        </w:tc>
        <w:tc>
          <w:tcPr>
            <w:tcW w:w="3872" w:type="dxa"/>
            <w:tcBorders>
              <w:top w:val="single" w:color="000000" w:sz="4" w:space="0"/>
              <w:left w:val="single" w:color="000000" w:sz="4" w:space="0"/>
              <w:bottom w:val="single" w:color="000000" w:sz="4" w:space="0"/>
              <w:right w:val="single" w:color="000000" w:sz="4" w:space="0"/>
            </w:tcBorders>
            <w:vAlign w:val="center"/>
          </w:tcPr>
          <w:p w14:paraId="0BC3EF21">
            <w:pPr>
              <w:ind w:firstLine="960" w:firstLineChars="300"/>
              <w:rPr>
                <w:rFonts w:ascii="仿宋" w:hAnsi="仿宋" w:eastAsia="仿宋" w:cs="仿宋"/>
                <w:sz w:val="32"/>
                <w:szCs w:val="32"/>
              </w:rPr>
            </w:pPr>
            <w:r>
              <w:rPr>
                <w:rFonts w:hint="eastAsia" w:ascii="仿宋" w:hAnsi="仿宋" w:eastAsia="仿宋" w:cs="仿宋"/>
                <w:color w:val="000000"/>
                <w:sz w:val="32"/>
                <w:szCs w:val="32"/>
              </w:rPr>
              <w:t>2024年 9月9日</w:t>
            </w:r>
          </w:p>
        </w:tc>
      </w:tr>
      <w:tr w14:paraId="36AF21E0">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40" w:hRule="atLeast"/>
          <w:jc w:val="center"/>
        </w:trPr>
        <w:tc>
          <w:tcPr>
            <w:tcW w:w="2663" w:type="dxa"/>
            <w:tcBorders>
              <w:top w:val="single" w:color="000000" w:sz="4" w:space="0"/>
              <w:left w:val="single" w:color="000000" w:sz="4" w:space="0"/>
              <w:bottom w:val="single" w:color="000000" w:sz="4" w:space="0"/>
              <w:right w:val="single" w:color="000000" w:sz="4" w:space="0"/>
            </w:tcBorders>
            <w:vAlign w:val="center"/>
          </w:tcPr>
          <w:p w14:paraId="46EA20E6">
            <w:pPr>
              <w:jc w:val="center"/>
              <w:rPr>
                <w:rFonts w:ascii="仿宋_GB2312" w:hAnsi="宋体" w:eastAsia="仿宋_GB2312" w:cs="宋体"/>
                <w:color w:val="000000"/>
                <w:sz w:val="32"/>
                <w:szCs w:val="32"/>
              </w:rPr>
            </w:pPr>
            <w:r>
              <w:rPr>
                <w:rFonts w:hint="eastAsia" w:ascii="仿宋_GB2312" w:hAnsi="宋体" w:eastAsia="仿宋_GB2312" w:cs="宋体"/>
                <w:color w:val="000000"/>
                <w:sz w:val="32"/>
                <w:szCs w:val="32"/>
              </w:rPr>
              <w:t>作品字数或时长</w:t>
            </w:r>
          </w:p>
        </w:tc>
        <w:tc>
          <w:tcPr>
            <w:tcW w:w="2147" w:type="dxa"/>
            <w:gridSpan w:val="2"/>
            <w:tcBorders>
              <w:top w:val="single" w:color="000000" w:sz="4" w:space="0"/>
              <w:left w:val="single" w:color="000000" w:sz="4" w:space="0"/>
              <w:bottom w:val="single" w:color="000000" w:sz="4" w:space="0"/>
              <w:right w:val="single" w:color="000000" w:sz="4" w:space="0"/>
            </w:tcBorders>
            <w:vAlign w:val="center"/>
          </w:tcPr>
          <w:p w14:paraId="1EFCF418">
            <w:pPr>
              <w:jc w:val="center"/>
              <w:rPr>
                <w:rFonts w:ascii="仿宋" w:hAnsi="仿宋" w:eastAsia="仿宋" w:cs="仿宋"/>
                <w:color w:val="000000"/>
                <w:sz w:val="32"/>
                <w:szCs w:val="32"/>
              </w:rPr>
            </w:pPr>
            <w:r>
              <w:rPr>
                <w:rFonts w:hint="eastAsia" w:ascii="仿宋" w:hAnsi="仿宋" w:eastAsia="仿宋" w:cs="仿宋"/>
                <w:color w:val="000000"/>
                <w:sz w:val="32"/>
                <w:szCs w:val="32"/>
              </w:rPr>
              <w:t>9811字</w:t>
            </w:r>
          </w:p>
        </w:tc>
        <w:tc>
          <w:tcPr>
            <w:tcW w:w="1418" w:type="dxa"/>
            <w:tcBorders>
              <w:top w:val="single" w:color="000000" w:sz="4" w:space="0"/>
              <w:left w:val="single" w:color="000000" w:sz="4" w:space="0"/>
              <w:bottom w:val="single" w:color="000000" w:sz="4" w:space="0"/>
              <w:right w:val="single" w:color="000000" w:sz="4" w:space="0"/>
            </w:tcBorders>
            <w:vAlign w:val="center"/>
          </w:tcPr>
          <w:p w14:paraId="692CFCB5">
            <w:pPr>
              <w:jc w:val="center"/>
              <w:rPr>
                <w:rFonts w:ascii="仿宋" w:hAnsi="仿宋" w:eastAsia="仿宋" w:cs="仿宋"/>
                <w:sz w:val="32"/>
                <w:szCs w:val="32"/>
              </w:rPr>
            </w:pPr>
            <w:r>
              <w:rPr>
                <w:rFonts w:hint="eastAsia" w:ascii="仿宋" w:hAnsi="仿宋" w:eastAsia="仿宋" w:cs="仿宋"/>
                <w:color w:val="000000"/>
                <w:sz w:val="32"/>
                <w:szCs w:val="32"/>
              </w:rPr>
              <w:t>作品体裁</w:t>
            </w:r>
          </w:p>
        </w:tc>
        <w:tc>
          <w:tcPr>
            <w:tcW w:w="3872" w:type="dxa"/>
            <w:tcBorders>
              <w:top w:val="single" w:color="000000" w:sz="4" w:space="0"/>
              <w:left w:val="single" w:color="000000" w:sz="4" w:space="0"/>
              <w:bottom w:val="single" w:color="000000" w:sz="4" w:space="0"/>
              <w:right w:val="single" w:color="000000" w:sz="4" w:space="0"/>
            </w:tcBorders>
            <w:vAlign w:val="center"/>
          </w:tcPr>
          <w:p w14:paraId="7DE78A3C">
            <w:pPr>
              <w:rPr>
                <w:rFonts w:ascii="仿宋" w:hAnsi="仿宋" w:eastAsia="仿宋" w:cs="仿宋"/>
                <w:sz w:val="32"/>
                <w:szCs w:val="32"/>
              </w:rPr>
            </w:pPr>
            <w:r>
              <w:rPr>
                <w:rFonts w:hint="eastAsia" w:ascii="仿宋" w:hAnsi="仿宋" w:eastAsia="仿宋" w:cs="仿宋"/>
                <w:sz w:val="32"/>
                <w:szCs w:val="32"/>
              </w:rPr>
              <w:t xml:space="preserve">     报纸通讯</w:t>
            </w:r>
          </w:p>
        </w:tc>
      </w:tr>
      <w:tr w14:paraId="6B0CB0D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650" w:hRule="atLeast"/>
          <w:jc w:val="center"/>
        </w:trPr>
        <w:tc>
          <w:tcPr>
            <w:tcW w:w="2675" w:type="dxa"/>
            <w:gridSpan w:val="2"/>
            <w:tcBorders>
              <w:top w:val="single" w:color="000000" w:sz="4" w:space="0"/>
              <w:left w:val="single" w:color="000000" w:sz="4" w:space="0"/>
              <w:bottom w:val="single" w:color="auto" w:sz="4" w:space="0"/>
              <w:right w:val="single" w:color="auto" w:sz="4" w:space="0"/>
            </w:tcBorders>
          </w:tcPr>
          <w:p w14:paraId="77B34E70">
            <w:pPr>
              <w:jc w:val="center"/>
              <w:rPr>
                <w:rFonts w:ascii="仿宋" w:hAnsi="仿宋" w:eastAsia="仿宋" w:cs="仿宋"/>
                <w:color w:val="000000"/>
                <w:sz w:val="32"/>
                <w:szCs w:val="32"/>
              </w:rPr>
            </w:pPr>
            <w:r>
              <w:rPr>
                <w:rFonts w:hint="eastAsia" w:ascii="仿宋" w:hAnsi="仿宋" w:eastAsia="仿宋" w:cs="仿宋"/>
                <w:color w:val="000000"/>
                <w:sz w:val="32"/>
                <w:szCs w:val="32"/>
              </w:rPr>
              <w:t>作品传播数据</w:t>
            </w:r>
          </w:p>
        </w:tc>
        <w:tc>
          <w:tcPr>
            <w:tcW w:w="7425" w:type="dxa"/>
            <w:gridSpan w:val="3"/>
            <w:tcBorders>
              <w:top w:val="single" w:color="000000" w:sz="4" w:space="0"/>
              <w:left w:val="single" w:color="auto" w:sz="4" w:space="0"/>
              <w:bottom w:val="single" w:color="auto" w:sz="4" w:space="0"/>
              <w:right w:val="single" w:color="000000" w:sz="4" w:space="0"/>
            </w:tcBorders>
          </w:tcPr>
          <w:p w14:paraId="34D50424">
            <w:pPr>
              <w:rPr>
                <w:rFonts w:ascii="仿宋" w:hAnsi="仿宋" w:eastAsia="仿宋" w:cs="仿宋"/>
                <w:color w:val="000000"/>
                <w:sz w:val="32"/>
                <w:szCs w:val="32"/>
              </w:rPr>
            </w:pPr>
            <w:r>
              <w:rPr>
                <w:rFonts w:hint="eastAsia" w:ascii="仿宋" w:hAnsi="仿宋" w:eastAsia="仿宋" w:cs="仿宋"/>
                <w:sz w:val="32"/>
                <w:szCs w:val="32"/>
              </w:rPr>
              <w:t>《人民日报》《光明日报》《经济日报》等中央媒体头版全文转发，众多网端转载，仅学习强国平台累计转发阅读就达500万次，点赞超过21万次。</w:t>
            </w:r>
          </w:p>
        </w:tc>
      </w:tr>
      <w:tr w14:paraId="2DA57BAA">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10" w:type="dxa"/>
            <w:bottom w:w="0" w:type="dxa"/>
            <w:right w:w="10" w:type="dxa"/>
          </w:tblCellMar>
        </w:tblPrEx>
        <w:trPr>
          <w:trHeight w:val="7320" w:hRule="atLeast"/>
          <w:jc w:val="center"/>
        </w:trPr>
        <w:tc>
          <w:tcPr>
            <w:tcW w:w="10100" w:type="dxa"/>
            <w:gridSpan w:val="5"/>
            <w:tcBorders>
              <w:top w:val="single" w:color="auto" w:sz="4" w:space="0"/>
              <w:left w:val="single" w:color="000000" w:sz="4" w:space="0"/>
              <w:bottom w:val="single" w:color="000000" w:sz="4" w:space="0"/>
              <w:right w:val="single" w:color="000000" w:sz="4" w:space="0"/>
            </w:tcBorders>
          </w:tcPr>
          <w:p w14:paraId="60E836AA">
            <w:pPr>
              <w:rPr>
                <w:rFonts w:ascii="仿宋_GB2312" w:hAnsi="宋体" w:eastAsia="仿宋_GB2312" w:cs="宋体"/>
                <w:color w:val="000000"/>
                <w:sz w:val="32"/>
                <w:szCs w:val="32"/>
              </w:rPr>
            </w:pPr>
            <w:r>
              <w:rPr>
                <w:rFonts w:hint="eastAsia" w:ascii="仿宋_GB2312" w:hAnsi="宋体" w:eastAsia="仿宋_GB2312" w:cs="宋体"/>
                <w:color w:val="000000"/>
                <w:sz w:val="32"/>
                <w:szCs w:val="32"/>
              </w:rPr>
              <w:t>推荐理由（采写简况、作品评价、社会效果、传播数据、获奖情况）</w:t>
            </w:r>
          </w:p>
          <w:p w14:paraId="4785F199">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党的二十大报告把教育科技人才单独成章进行布局，吹响了加快建设教育强国的号角。习近平同志在福建工作期间高度重视教育工作。2022年起，福建日报采访小组先后赴省内多地，采访几十名相关历史见证人，搜集大量原始资料，相对完整系统总结梳理习近平总书记在闽工作17年半里关于教育工作的探索与实践。</w:t>
            </w:r>
          </w:p>
          <w:p w14:paraId="78924C40">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最终形成的长篇通讯《“真正把教育摆在先行官的位置”——习近平同志在福建工作期间关于教育工作的探索与实践》，深情回顾了习近平同志关心和推动教育事业发展的深厚情怀，阐释了习近平同志在福建的教育实践探索是党的十八大以来习近平总书记关于教育重要论述的逻辑原点、先导成果，为推动新时代教育工作高质量发展提供了有益启示和行动指南。文章把历史、现实和未来融汇贯通，题材重大而言语生动、逻辑严密而层次分明，兼具历史厚度和情感温度，权威性、指导性、可读性、理论性并重，是新闻界高举思想旗帜、深挖理论富矿的又一力作。</w:t>
            </w:r>
          </w:p>
          <w:p w14:paraId="1F843301">
            <w:pPr>
              <w:keepNext w:val="0"/>
              <w:keepLines w:val="0"/>
              <w:pageBreakBefore w:val="0"/>
              <w:widowControl w:val="0"/>
              <w:kinsoku/>
              <w:wordWrap/>
              <w:overflowPunct/>
              <w:topLinePunct w:val="0"/>
              <w:autoSpaceDE/>
              <w:autoSpaceDN/>
              <w:bidi w:val="0"/>
              <w:adjustRightInd/>
              <w:snapToGrid/>
              <w:spacing w:line="400" w:lineRule="exact"/>
              <w:ind w:firstLine="640" w:firstLineChars="200"/>
              <w:textAlignment w:val="auto"/>
              <w:rPr>
                <w:rFonts w:ascii="仿宋_GB2312" w:hAnsi="宋体" w:eastAsia="仿宋_GB2312" w:cs="宋体"/>
                <w:strike/>
                <w:color w:val="000000"/>
                <w:sz w:val="32"/>
                <w:szCs w:val="32"/>
              </w:rPr>
            </w:pPr>
            <w:r>
              <w:rPr>
                <w:rFonts w:hint="eastAsia" w:ascii="仿宋" w:hAnsi="仿宋" w:eastAsia="仿宋" w:cs="仿宋"/>
                <w:sz w:val="32"/>
                <w:szCs w:val="32"/>
              </w:rPr>
              <w:t>文章由中宣部报中办审定后，2024年9月9日在《福建日报》首发；次日，全国教育大会召开，《人民日报》《光明日报》《经济日报》等中央媒体头版全文转发，众多网端积极转载，仅学习强国平台累计转发阅读就达500万次，</w:t>
            </w:r>
            <w:r>
              <w:rPr>
                <w:rFonts w:hint="eastAsia" w:ascii="仿宋" w:hAnsi="仿宋" w:eastAsia="仿宋" w:cs="仿宋"/>
                <w:sz w:val="32"/>
                <w:szCs w:val="32"/>
                <w:highlight w:val="none"/>
              </w:rPr>
              <w:t>点赞超过21万次。</w:t>
            </w:r>
          </w:p>
        </w:tc>
      </w:tr>
    </w:tbl>
    <w:p w14:paraId="4085FB7B">
      <w:pPr>
        <w:ind w:right="240"/>
        <w:jc w:val="right"/>
        <w:rPr>
          <w:rFonts w:ascii="仿宋_GB2312" w:hAnsi="宋体" w:eastAsia="仿宋_GB2312" w:cs="宋体"/>
          <w:color w:val="000000"/>
          <w:sz w:val="32"/>
          <w:szCs w:val="32"/>
        </w:rPr>
      </w:pPr>
      <w:r>
        <w:rPr>
          <w:rFonts w:hint="eastAsia" w:ascii="黑体" w:eastAsia="黑体"/>
          <w:sz w:val="24"/>
          <w:szCs w:val="24"/>
        </w:rPr>
        <w:t>中国记协202</w:t>
      </w:r>
      <w:r>
        <w:rPr>
          <w:rFonts w:ascii="黑体" w:eastAsia="黑体"/>
          <w:sz w:val="24"/>
          <w:szCs w:val="24"/>
        </w:rPr>
        <w:t>5</w:t>
      </w:r>
      <w:r>
        <w:rPr>
          <w:rFonts w:hint="eastAsia" w:ascii="黑体" w:eastAsia="黑体"/>
          <w:sz w:val="24"/>
          <w:szCs w:val="24"/>
        </w:rPr>
        <w:t>年统一印制</w:t>
      </w:r>
    </w:p>
    <w:p w14:paraId="6F0D658A"/>
    <w:sectPr>
      <w:headerReference r:id="rId3" w:type="default"/>
      <w:footerReference r:id="rId4" w:type="default"/>
      <w:pgSz w:w="11900" w:h="16838"/>
      <w:pgMar w:top="2098" w:right="1531" w:bottom="1984" w:left="1531" w:header="600" w:footer="960" w:gutter="0"/>
      <w:pgNumType w:start="9"/>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F01EF">
    <w:pPr>
      <w:spacing w:line="216" w:lineRule="auto"/>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66675" cy="161290"/>
              <wp:effectExtent l="0" t="0" r="0" b="0"/>
              <wp:wrapNone/>
              <wp:docPr id="1" name="文本框 1"/>
              <wp:cNvGraphicFramePr/>
              <a:graphic xmlns:a="http://schemas.openxmlformats.org/drawingml/2006/main">
                <a:graphicData uri="http://schemas.microsoft.com/office/word/2010/wordprocessingShape">
                  <wps:wsp>
                    <wps:cNvSpPr txBox="1"/>
                    <wps:spPr>
                      <a:xfrm>
                        <a:off x="0" y="0"/>
                        <a:ext cx="66675" cy="161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7D5E988">
                          <w:pPr>
                            <w:pStyle w:val="2"/>
                          </w:pPr>
                          <w:r>
                            <w:fldChar w:fldCharType="begin"/>
                          </w:r>
                          <w:r>
                            <w:instrText xml:space="preserve"> PAGE  \* MERGEFORMAT </w:instrText>
                          </w:r>
                          <w:r>
                            <w:fldChar w:fldCharType="separate"/>
                          </w:r>
                          <w:r>
                            <w:t>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2.7pt;width:5.25pt;mso-position-horizontal:center;mso-position-horizontal-relative:margin;mso-wrap-style:none;z-index:251659264;mso-width-relative:page;mso-height-relative:page;" filled="f" stroked="f" coordsize="21600,21600" o:gfxdata="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glTkdEAAAADAQAADwAAAAAAAAABACAAAAAiAAAAZHJzL2Rvd25yZXYueG1sUEsBAhQAFAAAAAgA&#10;h07iQJwxSJEsAgAAUgQAAA4AAAAAAAAAAQAgAAAAIAEAAGRycy9lMm9Eb2MueG1sUEsFBgAAAAAG&#10;AAYAWQEAAL4FAAAAAA==&#10;">
              <v:fill on="f" focussize="0,0"/>
              <v:stroke on="f" weight="0.5pt"/>
              <v:imagedata o:title=""/>
              <o:lock v:ext="edit" aspectratio="f"/>
              <v:textbox inset="0mm,0mm,0mm,0mm" style="mso-fit-shape-to-text:t;">
                <w:txbxContent>
                  <w:p w14:paraId="57D5E988">
                    <w:pPr>
                      <w:pStyle w:val="2"/>
                    </w:pPr>
                    <w:r>
                      <w:fldChar w:fldCharType="begin"/>
                    </w:r>
                    <w:r>
                      <w:instrText xml:space="preserve"> PAGE  \* MERGEFORMAT </w:instrText>
                    </w:r>
                    <w:r>
                      <w:fldChar w:fldCharType="separate"/>
                    </w:r>
                    <w:r>
                      <w:t>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30D9E">
    <w:pPr>
      <w:spacing w:line="216" w:lineRule="auto"/>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2ADD"/>
    <w:rsid w:val="000F2E59"/>
    <w:rsid w:val="00312ADD"/>
    <w:rsid w:val="008A3C78"/>
    <w:rsid w:val="11F53027"/>
    <w:rsid w:val="2AE96FDD"/>
    <w:rsid w:val="3B7E3421"/>
    <w:rsid w:val="546649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0"/>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5"/>
    <w:qFormat/>
    <w:uiPriority w:val="0"/>
    <w:pPr>
      <w:tabs>
        <w:tab w:val="center" w:pos="4153"/>
        <w:tab w:val="right" w:pos="8306"/>
      </w:tabs>
      <w:snapToGrid w:val="0"/>
      <w:jc w:val="left"/>
    </w:pPr>
    <w:rPr>
      <w:sz w:val="18"/>
      <w:szCs w:val="18"/>
    </w:rPr>
  </w:style>
  <w:style w:type="character" w:customStyle="1" w:styleId="5">
    <w:name w:val="页脚字符"/>
    <w:basedOn w:val="4"/>
    <w:link w:val="2"/>
    <w:qFormat/>
    <w:uiPriority w:val="0"/>
    <w:rPr>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722</Words>
  <Characters>744</Characters>
  <Lines>5</Lines>
  <Paragraphs>1</Paragraphs>
  <TotalTime>6</TotalTime>
  <ScaleCrop>false</ScaleCrop>
  <LinksUpToDate>false</LinksUpToDate>
  <CharactersWithSpaces>757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2025-09-14T23:51:00Z</dcterms:created>
  <dc:creator>Microsoft Office 用户</dc:creator>
  <cp:lastModifiedBy>WPS_1642673315</cp:lastModifiedBy>
  <cp:lastPrinted>2025-09-15T03:46:10Z</cp:lastPrinted>
  <dcterms:modified xsi:type="dcterms:W3CDTF">2025-09-15T03:47:09Z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eyJoZGlkIjoiNjg5Yjg2NTQ5MDU4NDNkZGU2MjI3MTg1NjVjYjg3ZmUiLCJ1c2VySWQiOiIxMzE4MzA5MTcwIn0=</vt:lpwstr>
  </property>
  <property fmtid="{D5CDD505-2E9C-101B-9397-08002B2CF9AE}" pid="3" name="KSOProductBuildVer">
    <vt:lpwstr>2052-12.1.0.22529</vt:lpwstr>
  </property>
  <property fmtid="{D5CDD505-2E9C-101B-9397-08002B2CF9AE}" pid="4" name="ICV">
    <vt:lpwstr>A6D80893CC434329BC9DA2A4AA5CC15B_13</vt:lpwstr>
  </property>
</Properties>
</file>